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82" w:rsidRPr="00211D82" w:rsidRDefault="00211D82" w:rsidP="00211D82">
      <w:pPr>
        <w:spacing w:after="0" w:line="280" w:lineRule="atLeast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noProof/>
          <w:color w:val="C54752"/>
          <w:lang w:eastAsia="ru-RU"/>
        </w:rPr>
        <w:drawing>
          <wp:inline distT="0" distB="0" distL="0" distR="0">
            <wp:extent cx="1885950" cy="1333500"/>
            <wp:effectExtent l="0" t="0" r="0" b="0"/>
            <wp:docPr id="15" name="Рисунок 15" descr="предметно-развивающая среда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метно-развивающая среда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82" w:rsidRDefault="00211D82" w:rsidP="00211D82">
      <w:pPr>
        <w:spacing w:after="0" w:line="280" w:lineRule="atLeast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b/>
          <w:bCs/>
          <w:color w:val="000000"/>
          <w:lang w:eastAsia="ru-RU"/>
        </w:rPr>
        <w:t>Предметно-развивающая среда старшей группы</w:t>
      </w:r>
      <w:r>
        <w:rPr>
          <w:rFonts w:ascii="Tahoma" w:eastAsia="Times New Roman" w:hAnsi="Tahoma" w:cs="Tahoma"/>
          <w:color w:val="000000"/>
          <w:lang w:eastAsia="ru-RU"/>
        </w:rPr>
        <w:t>.</w:t>
      </w:r>
    </w:p>
    <w:p w:rsidR="00211D82" w:rsidRPr="00211D82" w:rsidRDefault="00211D82" w:rsidP="00211D82">
      <w:pPr>
        <w:spacing w:after="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Разработанная в группе предметно-развивающая среда обеспечивает высокое качество </w:t>
      </w:r>
      <w:hyperlink r:id="rId7" w:history="1">
        <w:r w:rsidRPr="00211D82">
          <w:rPr>
            <w:rFonts w:ascii="Tahoma" w:eastAsia="Times New Roman" w:hAnsi="Tahoma" w:cs="Tahoma"/>
            <w:color w:val="C54752"/>
            <w:u w:val="single"/>
            <w:lang w:eastAsia="ru-RU"/>
          </w:rPr>
          <w:t>дошкольного образования</w:t>
        </w:r>
      </w:hyperlink>
      <w:r w:rsidRPr="00211D82">
        <w:rPr>
          <w:rFonts w:ascii="Tahoma" w:eastAsia="Times New Roman" w:hAnsi="Tahoma" w:cs="Tahoma"/>
          <w:color w:val="000000"/>
          <w:lang w:eastAsia="ru-RU"/>
        </w:rPr>
        <w:t> через гарантированную охрану и укрепление физического и психического здоровья воспитанников, способствование высоконравственному развитию и воспитанию детей.</w:t>
      </w:r>
    </w:p>
    <w:p w:rsidR="00211D82" w:rsidRPr="00211D82" w:rsidRDefault="00211D82" w:rsidP="00211D82">
      <w:pPr>
        <w:spacing w:after="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Как рекомендовано в ФГТ образовательная </w:t>
      </w:r>
      <w:hyperlink r:id="rId8" w:history="1">
        <w:r w:rsidRPr="00211D82">
          <w:rPr>
            <w:rFonts w:ascii="Tahoma" w:eastAsia="Times New Roman" w:hAnsi="Tahoma" w:cs="Tahoma"/>
            <w:color w:val="C54752"/>
            <w:u w:val="single"/>
            <w:lang w:eastAsia="ru-RU"/>
          </w:rPr>
          <w:t>работа с детьми</w:t>
        </w:r>
      </w:hyperlink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211D82">
        <w:rPr>
          <w:rFonts w:ascii="Tahoma" w:eastAsia="Times New Roman" w:hAnsi="Tahoma" w:cs="Tahoma"/>
          <w:color w:val="000000"/>
          <w:lang w:eastAsia="ru-RU"/>
        </w:rPr>
        <w:t>осуществляется в процессе организации различных видов детской деятельности: игровой, коммуникативной, трудовой, познавательно-исследовательской, продуктивной, музыкально-художественной, позволяющей удовлетворить потребности воспитанников.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Предметно-развивающая среда старшей группы построена на следующих принципах: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1. Информативность, предусматривающая разнообразие тематики детской деятельности, а также используемых детьми материалов и оборудования в процессе деятельности.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2. Вариативность, определяющаяся содержанием регионального воспитания, национально-культурными и художественными традициями региона.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 xml:space="preserve">3. </w:t>
      </w:r>
      <w:proofErr w:type="spellStart"/>
      <w:r w:rsidRPr="00211D82">
        <w:rPr>
          <w:rFonts w:ascii="Tahoma" w:eastAsia="Times New Roman" w:hAnsi="Tahoma" w:cs="Tahoma"/>
          <w:color w:val="000000"/>
          <w:lang w:eastAsia="ru-RU"/>
        </w:rPr>
        <w:t>Полифункциональность</w:t>
      </w:r>
      <w:proofErr w:type="spellEnd"/>
      <w:r w:rsidRPr="00211D82">
        <w:rPr>
          <w:rFonts w:ascii="Tahoma" w:eastAsia="Times New Roman" w:hAnsi="Tahoma" w:cs="Tahoma"/>
          <w:color w:val="000000"/>
          <w:lang w:eastAsia="ru-RU"/>
        </w:rPr>
        <w:t>, предусматривающая не только варианты разнообразного использования различных составляющих предметно-развивающей среды в зависимости от темы деятельности, но и преемственные линии между всеми составляющими образовательного процесса.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4. Целесообразность, обеспечивающая предметно-развивающую среду группы необходимым и достаточным наполнением, которое дает детям возможности для самовыражения, способствует индивидуальному комфорту и эмоциональному благополучию каждого ребенка.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 xml:space="preserve">5. </w:t>
      </w:r>
      <w:proofErr w:type="spellStart"/>
      <w:r w:rsidRPr="00211D82">
        <w:rPr>
          <w:rFonts w:ascii="Tahoma" w:eastAsia="Times New Roman" w:hAnsi="Tahoma" w:cs="Tahoma"/>
          <w:color w:val="000000"/>
          <w:lang w:eastAsia="ru-RU"/>
        </w:rPr>
        <w:t>Трансформируемость</w:t>
      </w:r>
      <w:proofErr w:type="spellEnd"/>
      <w:r w:rsidRPr="00211D82">
        <w:rPr>
          <w:rFonts w:ascii="Tahoma" w:eastAsia="Times New Roman" w:hAnsi="Tahoma" w:cs="Tahoma"/>
          <w:color w:val="000000"/>
          <w:lang w:eastAsia="ru-RU"/>
        </w:rPr>
        <w:t>, предполагающая возможность изменения предметно-развивающей среды в зависимости от направлений деятельности и решаемых образовательных задач.</w:t>
      </w:r>
    </w:p>
    <w:p w:rsidR="00211D82" w:rsidRPr="00211D82" w:rsidRDefault="00211D82" w:rsidP="00211D82">
      <w:pPr>
        <w:spacing w:after="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b/>
          <w:bCs/>
          <w:color w:val="000000"/>
          <w:lang w:eastAsia="ru-RU"/>
        </w:rPr>
        <w:t>Предметно-развивающая среда старшей группы</w:t>
      </w:r>
      <w:r w:rsidRPr="00211D82">
        <w:rPr>
          <w:rFonts w:ascii="Tahoma" w:eastAsia="Times New Roman" w:hAnsi="Tahoma" w:cs="Tahoma"/>
          <w:color w:val="000000"/>
          <w:lang w:eastAsia="ru-RU"/>
        </w:rPr>
        <w:t> позволяет проводить образовательную работу с детьми в совместной деятельности взрослого и ребенка; закреплять полученные знания, умения и навыки в самостоятельной деятельности детей. Образовательные задачи различных направления развития старших дошкольников решаются в рамках непосредственной образовательной деятельности по освоению основной образовательной программы </w:t>
      </w:r>
      <w:hyperlink r:id="rId9" w:history="1">
        <w:r w:rsidRPr="00211D82">
          <w:rPr>
            <w:rFonts w:ascii="Tahoma" w:eastAsia="Times New Roman" w:hAnsi="Tahoma" w:cs="Tahoma"/>
            <w:color w:val="C54752"/>
            <w:u w:val="single"/>
            <w:lang w:eastAsia="ru-RU"/>
          </w:rPr>
          <w:t>дошкольного образования</w:t>
        </w:r>
      </w:hyperlink>
      <w:r w:rsidRPr="00211D82">
        <w:rPr>
          <w:rFonts w:ascii="Tahoma" w:eastAsia="Times New Roman" w:hAnsi="Tahoma" w:cs="Tahoma"/>
          <w:color w:val="000000"/>
          <w:lang w:eastAsia="ru-RU"/>
        </w:rPr>
        <w:t> и при проведении режимных моментов в соответствии со спецификой дошкольного образования. Выстроенная на вышеперечисленных принципах предметно-развивающая среда группы позволяет организовать образовательный процесс с использованием адекватных возрасту форм работы с детьми. Как известно, основной формой работы с детьми дошкольного возраста и ведущим видом деятельности является игра. Поэтому предметно-развивающая среда группы предусматривает разнообразие игровой деятельности, которая помогает педагогам выявлять и развивать способности детей в любых формах образовательного процесса; помогает детям, в том числе детям с ограниченными возможностями здоровья, освоить основную общеобразовательную программу дошкольного образования.</w:t>
      </w:r>
    </w:p>
    <w:p w:rsidR="00211D82" w:rsidRPr="00211D82" w:rsidRDefault="00211D82" w:rsidP="00211D82">
      <w:pPr>
        <w:spacing w:after="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lastRenderedPageBreak/>
        <w:t xml:space="preserve">Предметно-развивающая среда учитывает </w:t>
      </w:r>
      <w:proofErr w:type="spellStart"/>
      <w:r w:rsidRPr="00211D82">
        <w:rPr>
          <w:rFonts w:ascii="Tahoma" w:eastAsia="Times New Roman" w:hAnsi="Tahoma" w:cs="Tahoma"/>
          <w:color w:val="000000"/>
          <w:lang w:eastAsia="ru-RU"/>
        </w:rPr>
        <w:t>поролевую</w:t>
      </w:r>
      <w:proofErr w:type="spellEnd"/>
      <w:r w:rsidRPr="00211D82">
        <w:rPr>
          <w:rFonts w:ascii="Tahoma" w:eastAsia="Times New Roman" w:hAnsi="Tahoma" w:cs="Tahoma"/>
          <w:color w:val="000000"/>
          <w:lang w:eastAsia="ru-RU"/>
        </w:rPr>
        <w:t xml:space="preserve"> специфику развития девочек и мальчиков. </w:t>
      </w:r>
      <w:proofErr w:type="spellStart"/>
      <w:r w:rsidRPr="00211D82">
        <w:rPr>
          <w:rFonts w:ascii="Tahoma" w:eastAsia="Times New Roman" w:hAnsi="Tahoma" w:cs="Tahoma"/>
          <w:color w:val="000000"/>
          <w:lang w:eastAsia="ru-RU"/>
        </w:rPr>
        <w:t>Полоролевая</w:t>
      </w:r>
      <w:proofErr w:type="spellEnd"/>
      <w:r w:rsidRPr="00211D82">
        <w:rPr>
          <w:rFonts w:ascii="Tahoma" w:eastAsia="Times New Roman" w:hAnsi="Tahoma" w:cs="Tahoma"/>
          <w:color w:val="000000"/>
          <w:lang w:eastAsia="ru-RU"/>
        </w:rPr>
        <w:t xml:space="preserve"> направленность учитывает принцип </w:t>
      </w:r>
      <w:hyperlink r:id="rId10" w:history="1">
        <w:r w:rsidRPr="00211D82">
          <w:rPr>
            <w:rFonts w:ascii="Tahoma" w:eastAsia="Times New Roman" w:hAnsi="Tahoma" w:cs="Tahoma"/>
            <w:color w:val="C54752"/>
            <w:u w:val="single"/>
            <w:lang w:eastAsia="ru-RU"/>
          </w:rPr>
          <w:t>интеграции образовательных областей</w:t>
        </w:r>
      </w:hyperlink>
      <w:r w:rsidRPr="00211D82">
        <w:rPr>
          <w:rFonts w:ascii="Tahoma" w:eastAsia="Times New Roman" w:hAnsi="Tahoma" w:cs="Tahoma"/>
          <w:color w:val="000000"/>
          <w:lang w:eastAsia="ru-RU"/>
        </w:rPr>
        <w:t>, материалы и оборудование, используемые для достижения целей одной образовательной области, могут применяться и в ходе решения задач других образовательных областей.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Подбор игр, игрушек, дидактического материала для организации детских видов деятельности осуществляется на основе общих закономерностей развития ребенка на каждом возрастном этапе и с учетом специфики развития детей старшего дошкольного возраста.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Все оборудование группы подобрано в соответствии с санитарно-эпидемиологическим правилам и нормативам; отвечает гигиеническим, педагогическим и эстетическим требованиям. Подбор оборудования осуществляется исходя из того, что при реализации основной общеобразовательной программы основной формой работы с детьми и ведущей деятельностью является игра.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Уголок продуктивной деятельности представлен оборудованием для изобразительной деятельности и конструирования и набором общего назначения: набор для рисования, лепки, аппликации, оборудование для конструирования включает строительный материал, детали конструкторов разных видов, бумагу разных цветов и фактуры, а также природные и бросовые материалы.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Оборудование для познавательно-исследовательской деятельности включает объекты для исследования, образно-символический материал, специальные наглядные пособия, репрезентирующие детям мир вещей и событий.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Материалы и оборудование для двигательной активности включает оборудование для ходьбы, бега, равновесия, прыжков, для катания, бросания, ловли, для ползания, лазания.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 xml:space="preserve">Наиболее ценными являются игрушки, они соответствуют техническому регламенту о безопасности продукции, предназначенные для детей. Они ценны, игрушки обладают </w:t>
      </w:r>
      <w:proofErr w:type="spellStart"/>
      <w:r w:rsidRPr="00211D82">
        <w:rPr>
          <w:rFonts w:ascii="Tahoma" w:eastAsia="Times New Roman" w:hAnsi="Tahoma" w:cs="Tahoma"/>
          <w:color w:val="000000"/>
          <w:lang w:eastAsia="ru-RU"/>
        </w:rPr>
        <w:t>полифункциональностью</w:t>
      </w:r>
      <w:proofErr w:type="spellEnd"/>
      <w:r w:rsidRPr="00211D82">
        <w:rPr>
          <w:rFonts w:ascii="Tahoma" w:eastAsia="Times New Roman" w:hAnsi="Tahoma" w:cs="Tahoma"/>
          <w:color w:val="000000"/>
          <w:lang w:eastAsia="ru-RU"/>
        </w:rPr>
        <w:t>, то есть они используются в соответствии с замыслом ребенка, сюжетом игры в разных функциях, способствуя развитию творчества, воображению, знаковой символической функцией мышления. Игрушки используются группой воспитанников, а также взрослого и ребенка, строятся коллективные постройки, совместные игры. Все игрушки в группе обладают дидактическими свойствами. Они несут в себе способы обучения ребенка: конструирования, ознакомление с цветом и формой, содержит механизм программированного контроля (электронные игрушки). Некоторые игрушки принадлежат к изделиям художественных промыслов. Эти игрушки являются средством художественно-эстетического развития ребенка, приобщая его к миру искусства и знакомству с народным художественным творчеством.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Как же расположена предметно-развивающая среда в группе старшего возраста?</w:t>
      </w:r>
    </w:p>
    <w:p w:rsidR="00211D82" w:rsidRPr="00211D82" w:rsidRDefault="00211D82" w:rsidP="00211D82">
      <w:pPr>
        <w:spacing w:after="0" w:line="280" w:lineRule="atLeast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noProof/>
          <w:color w:val="C54752"/>
          <w:lang w:eastAsia="ru-RU"/>
        </w:rPr>
        <w:lastRenderedPageBreak/>
        <w:drawing>
          <wp:inline distT="0" distB="0" distL="0" distR="0">
            <wp:extent cx="5086350" cy="5924550"/>
            <wp:effectExtent l="0" t="0" r="0" b="0"/>
            <wp:docPr id="14" name="Рисунок 14" descr="предметно-развивающая среда старшей группы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дметно-развивающая среда старшей группы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82" w:rsidRPr="00211D82" w:rsidRDefault="00211D82" w:rsidP="00211D82">
      <w:pPr>
        <w:spacing w:after="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u w:val="single"/>
          <w:lang w:eastAsia="ru-RU"/>
        </w:rPr>
        <w:t>Физкультурно-оздоровительное направление: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 уголок физкультуры;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 уголок здоровья;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 уголок ПДД.</w:t>
      </w:r>
    </w:p>
    <w:p w:rsidR="00211D82" w:rsidRDefault="00211D82" w:rsidP="00211D82">
      <w:pPr>
        <w:spacing w:after="0" w:line="280" w:lineRule="atLeast"/>
        <w:jc w:val="center"/>
        <w:rPr>
          <w:rFonts w:ascii="Tahoma" w:eastAsia="Times New Roman" w:hAnsi="Tahoma" w:cs="Tahoma"/>
          <w:color w:val="000000"/>
          <w:u w:val="single"/>
          <w:lang w:eastAsia="ru-RU"/>
        </w:rPr>
      </w:pPr>
      <w:r w:rsidRPr="00211D82">
        <w:rPr>
          <w:rFonts w:ascii="Tahoma" w:eastAsia="Times New Roman" w:hAnsi="Tahoma" w:cs="Tahoma"/>
          <w:noProof/>
          <w:color w:val="C54752"/>
          <w:lang w:eastAsia="ru-RU"/>
        </w:rPr>
        <w:drawing>
          <wp:inline distT="0" distB="0" distL="0" distR="0">
            <wp:extent cx="2000250" cy="1419225"/>
            <wp:effectExtent l="0" t="0" r="0" b="9525"/>
            <wp:docPr id="13" name="Рисунок 13" descr="предметно-развивающая среда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дметно-развивающая среда1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82" w:rsidRPr="00211D82" w:rsidRDefault="00211D82" w:rsidP="00211D82">
      <w:pPr>
        <w:spacing w:after="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u w:val="single"/>
          <w:lang w:eastAsia="ru-RU"/>
        </w:rPr>
        <w:t>Познавательно-речевое направление: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-природный уголок;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lastRenderedPageBreak/>
        <w:t>-уголок исследовательской деятельности;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-библиотека;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 уголок игр по развитию речи и познавательному развитию;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-патриотический уголок об Оренбуржье.</w:t>
      </w:r>
    </w:p>
    <w:p w:rsidR="00211D82" w:rsidRPr="00211D82" w:rsidRDefault="00211D82" w:rsidP="00211D82">
      <w:pPr>
        <w:spacing w:after="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u w:val="single"/>
          <w:lang w:eastAsia="ru-RU"/>
        </w:rPr>
        <w:t>Художественно-эстетическое направление: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-музыкальный уголок;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-театр «Пьеро»;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-уголок ИЗО.</w:t>
      </w:r>
    </w:p>
    <w:p w:rsidR="00211D82" w:rsidRDefault="00211D82" w:rsidP="00211D82">
      <w:pPr>
        <w:spacing w:after="0" w:line="280" w:lineRule="atLeast"/>
        <w:jc w:val="center"/>
        <w:rPr>
          <w:rFonts w:ascii="Tahoma" w:eastAsia="Times New Roman" w:hAnsi="Tahoma" w:cs="Tahoma"/>
          <w:color w:val="000000"/>
          <w:u w:val="single"/>
          <w:lang w:eastAsia="ru-RU"/>
        </w:rPr>
      </w:pPr>
      <w:r w:rsidRPr="00211D82">
        <w:rPr>
          <w:rFonts w:ascii="Tahoma" w:eastAsia="Times New Roman" w:hAnsi="Tahoma" w:cs="Tahoma"/>
          <w:noProof/>
          <w:color w:val="C54752"/>
          <w:lang w:eastAsia="ru-RU"/>
        </w:rPr>
        <w:drawing>
          <wp:inline distT="0" distB="0" distL="0" distR="0">
            <wp:extent cx="2000250" cy="1504950"/>
            <wp:effectExtent l="0" t="0" r="0" b="0"/>
            <wp:docPr id="12" name="Рисунок 12" descr="предметно-развивающая среда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едметно-развивающая среда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82" w:rsidRPr="00211D82" w:rsidRDefault="00211D82" w:rsidP="00211D82">
      <w:pPr>
        <w:spacing w:after="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u w:val="single"/>
          <w:lang w:eastAsia="ru-RU"/>
        </w:rPr>
        <w:t>Социально-личностное направление: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-гендерный уголок для девочек;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-гендерный уголок для мальчиков;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-больница;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-аптека;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-магазин;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-парикмахерская.</w:t>
      </w:r>
    </w:p>
    <w:p w:rsidR="00211D82" w:rsidRPr="00211D82" w:rsidRDefault="00211D82" w:rsidP="00211D82">
      <w:pPr>
        <w:spacing w:after="0" w:line="280" w:lineRule="atLeast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noProof/>
          <w:color w:val="C54752"/>
          <w:lang w:eastAsia="ru-RU"/>
        </w:rPr>
        <w:drawing>
          <wp:inline distT="0" distB="0" distL="0" distR="0">
            <wp:extent cx="1714500" cy="1266825"/>
            <wp:effectExtent l="0" t="0" r="0" b="9525"/>
            <wp:docPr id="11" name="Рисунок 11" descr="предметно-развивающая среда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едметно-развивающая среда5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D82">
        <w:rPr>
          <w:rFonts w:ascii="Tahoma" w:eastAsia="Times New Roman" w:hAnsi="Tahoma" w:cs="Tahoma"/>
          <w:noProof/>
          <w:color w:val="C54752"/>
          <w:lang w:eastAsia="ru-RU"/>
        </w:rPr>
        <w:drawing>
          <wp:inline distT="0" distB="0" distL="0" distR="0">
            <wp:extent cx="1714500" cy="1276350"/>
            <wp:effectExtent l="0" t="0" r="0" b="0"/>
            <wp:docPr id="10" name="Рисунок 10" descr="предметно-развивающая среда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едметно-развивающая среда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 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 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 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 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211D82">
        <w:rPr>
          <w:rFonts w:ascii="Tahoma" w:eastAsia="Times New Roman" w:hAnsi="Tahoma" w:cs="Tahoma"/>
          <w:color w:val="000000"/>
          <w:lang w:eastAsia="ru-RU"/>
        </w:rPr>
        <w:t> </w:t>
      </w:r>
    </w:p>
    <w:p w:rsidR="00211D82" w:rsidRPr="00211D82" w:rsidRDefault="00211D82" w:rsidP="00211D82">
      <w:pPr>
        <w:spacing w:before="180" w:after="180" w:line="28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5F71D1" w:rsidRPr="00211D82" w:rsidRDefault="005F71D1" w:rsidP="00211D82">
      <w:pPr>
        <w:rPr>
          <w:lang w:val="en-US"/>
        </w:rPr>
      </w:pPr>
      <w:bookmarkStart w:id="0" w:name="_GoBack"/>
      <w:bookmarkEnd w:id="0"/>
    </w:p>
    <w:sectPr w:rsidR="005F71D1" w:rsidRPr="0021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431EB"/>
    <w:multiLevelType w:val="multilevel"/>
    <w:tmpl w:val="858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88"/>
    <w:rsid w:val="000B5288"/>
    <w:rsid w:val="00211D82"/>
    <w:rsid w:val="005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55CD5-88F2-44A5-950C-BE98363F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1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1D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1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1D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1D82"/>
    <w:rPr>
      <w:color w:val="0000FF"/>
      <w:u w:val="single"/>
    </w:rPr>
  </w:style>
  <w:style w:type="character" w:styleId="a5">
    <w:name w:val="Strong"/>
    <w:basedOn w:val="a0"/>
    <w:uiPriority w:val="22"/>
    <w:qFormat/>
    <w:rsid w:val="00211D82"/>
    <w:rPr>
      <w:b/>
      <w:bCs/>
    </w:rPr>
  </w:style>
  <w:style w:type="character" w:customStyle="1" w:styleId="apple-converted-space">
    <w:name w:val="apple-converted-space"/>
    <w:basedOn w:val="a0"/>
    <w:rsid w:val="00211D8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1D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1D8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ubscribe-to-comments">
    <w:name w:val="subscribe-to-comments"/>
    <w:basedOn w:val="a"/>
    <w:rsid w:val="0021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1D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1D82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842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78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71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80809">
          <w:marLeft w:val="0"/>
          <w:marRight w:val="0"/>
          <w:marTop w:val="4500"/>
          <w:marBottom w:val="0"/>
          <w:divBdr>
            <w:top w:val="single" w:sz="18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9394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-mikheeva.ru/napravl/fizo/profilaktika-upotrebleniya-psihoaktivnyih-veshhestv-v-detskom-sadu-rabota-s-detmi" TargetMode="External"/><Relationship Id="rId13" Type="http://schemas.openxmlformats.org/officeDocument/2006/relationships/hyperlink" Target="http://el-mikheeva.ru/wp-content/uploads/2013/08/predmetno-razvivayushhaya-sreda1.jpg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l-mikheeva.ru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el-mikheeva.ru/wp-content/uploads/2013/08/predmetno-razvivayushhaya-sreda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l-mikheeva.ru/wp-content/uploads/2013/08/predmetno-razvivayushhaya-sreda-starshey-gruppyi.jpg" TargetMode="External"/><Relationship Id="rId5" Type="http://schemas.openxmlformats.org/officeDocument/2006/relationships/hyperlink" Target="http://el-mikheeva.ru/wp-content/uploads/2013/08/predmetno-razvivayushhaya-sreda2.jpg" TargetMode="External"/><Relationship Id="rId15" Type="http://schemas.openxmlformats.org/officeDocument/2006/relationships/hyperlink" Target="http://el-mikheeva.ru/wp-content/uploads/2013/08/predmetno-razvivayushhaya-sreda4.jpg" TargetMode="External"/><Relationship Id="rId10" Type="http://schemas.openxmlformats.org/officeDocument/2006/relationships/hyperlink" Target="http://el-mikheeva.ru/sovremennoe-doshkolnoe-obrazovanie/matematika-dlya-doshkolnikov" TargetMode="External"/><Relationship Id="rId19" Type="http://schemas.openxmlformats.org/officeDocument/2006/relationships/hyperlink" Target="http://el-mikheeva.ru/wp-content/uploads/2013/08/predmetno-razvivayushhaya-sreda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-mikheeva.ru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Мишарин</dc:creator>
  <cp:keywords/>
  <dc:description/>
  <cp:lastModifiedBy>Алексей Мишарин</cp:lastModifiedBy>
  <cp:revision>2</cp:revision>
  <dcterms:created xsi:type="dcterms:W3CDTF">2015-03-26T17:06:00Z</dcterms:created>
  <dcterms:modified xsi:type="dcterms:W3CDTF">2015-03-26T17:09:00Z</dcterms:modified>
</cp:coreProperties>
</file>